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60CE533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234A33">
        <w:rPr>
          <w:rFonts w:cs="Arial"/>
          <w:b/>
          <w:sz w:val="24"/>
          <w:szCs w:val="24"/>
        </w:rPr>
        <w:t>SP-24124</w:t>
      </w:r>
      <w:r w:rsidR="006D6DE4">
        <w:rPr>
          <w:rFonts w:cs="Arial"/>
          <w:b/>
          <w:sz w:val="24"/>
          <w:szCs w:val="24"/>
        </w:rPr>
        <w:t>9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76BEC040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6D6DE4">
        <w:rPr>
          <w:rFonts w:cs="Arial"/>
          <w:b/>
          <w:bCs/>
        </w:rPr>
        <w:t>CR on NR_SL_enh2 (Rel-18)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1C6C4F5B" w:rsidR="004E535C" w:rsidRDefault="00886616">
      <w:pPr>
        <w:rPr>
          <w:rFonts w:cs="Arial"/>
        </w:rPr>
      </w:pPr>
      <w:r>
        <w:rPr>
          <w:rFonts w:cs="Arial"/>
        </w:rPr>
        <w:t>The following CR</w:t>
      </w:r>
      <w:r w:rsidR="006D6DE4">
        <w:rPr>
          <w:rFonts w:cs="Arial"/>
        </w:rPr>
        <w:t xml:space="preserve"> was</w:t>
      </w:r>
      <w:r>
        <w:rPr>
          <w:rFonts w:cs="Arial"/>
        </w:rPr>
        <w:t xml:space="preserve"> agreed in SA WG2 </w:t>
      </w:r>
      <w:r w:rsidR="004E535C">
        <w:rPr>
          <w:rFonts w:cs="Arial"/>
        </w:rPr>
        <w:t xml:space="preserve">and </w:t>
      </w:r>
      <w:r w:rsidR="006D6DE4">
        <w:rPr>
          <w:rFonts w:cs="Arial"/>
        </w:rPr>
        <w:t>is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6D6DE4" w:rsidRPr="00766D2A" w14:paraId="1D908153" w14:textId="77777777" w:rsidTr="00E450E9">
        <w:tc>
          <w:tcPr>
            <w:tcW w:w="817" w:type="dxa"/>
          </w:tcPr>
          <w:p w14:paraId="1F090007" w14:textId="6AB05EED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23.287</w:t>
            </w:r>
          </w:p>
        </w:tc>
        <w:tc>
          <w:tcPr>
            <w:tcW w:w="596" w:type="dxa"/>
          </w:tcPr>
          <w:p w14:paraId="3752CD48" w14:textId="46703459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0199</w:t>
            </w:r>
          </w:p>
        </w:tc>
        <w:tc>
          <w:tcPr>
            <w:tcW w:w="283" w:type="dxa"/>
          </w:tcPr>
          <w:p w14:paraId="7E9A1A98" w14:textId="49A93155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10659CDE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18960E1F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V2X layer operation regarding sidelink carrier failure report from AS layer</w:t>
            </w:r>
          </w:p>
        </w:tc>
        <w:tc>
          <w:tcPr>
            <w:tcW w:w="284" w:type="dxa"/>
          </w:tcPr>
          <w:p w14:paraId="267FBDE9" w14:textId="1019A761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30357D2F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18.3.0</w:t>
            </w:r>
          </w:p>
        </w:tc>
        <w:tc>
          <w:tcPr>
            <w:tcW w:w="851" w:type="dxa"/>
          </w:tcPr>
          <w:p w14:paraId="1BBCBE5F" w14:textId="7C763F1D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068DB9B1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S2-2408998</w:t>
            </w:r>
          </w:p>
        </w:tc>
        <w:tc>
          <w:tcPr>
            <w:tcW w:w="1984" w:type="dxa"/>
          </w:tcPr>
          <w:p w14:paraId="577EFEF7" w14:textId="188ABC2B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LG Electronics, MediaTek Inc., ZTE, Qualcomm Incorporated</w:t>
            </w:r>
          </w:p>
        </w:tc>
        <w:tc>
          <w:tcPr>
            <w:tcW w:w="1418" w:type="dxa"/>
          </w:tcPr>
          <w:p w14:paraId="3E08327B" w14:textId="3D2B8A0A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NR_SL_enh2</w:t>
            </w:r>
          </w:p>
        </w:tc>
        <w:tc>
          <w:tcPr>
            <w:tcW w:w="1843" w:type="dxa"/>
          </w:tcPr>
          <w:p w14:paraId="5B856FF9" w14:textId="33B935D4" w:rsidR="006D6DE4" w:rsidRPr="00766D2A" w:rsidRDefault="006D6DE4" w:rsidP="006D6DE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5.2.1.4</w:t>
            </w:r>
          </w:p>
        </w:tc>
        <w:tc>
          <w:tcPr>
            <w:tcW w:w="1134" w:type="dxa"/>
          </w:tcPr>
          <w:p w14:paraId="292594C0" w14:textId="77777777" w:rsidR="006D6DE4" w:rsidRPr="00766D2A" w:rsidRDefault="006D6DE4" w:rsidP="006D6DE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6D6DE4" w:rsidRPr="00766D2A" w:rsidRDefault="006D6DE4" w:rsidP="006D6DE4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70669"/>
    <w:rsid w:val="00697622"/>
    <w:rsid w:val="006B42AC"/>
    <w:rsid w:val="006D6DE4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8C523E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2024-09-02T09:00:00Z</dcterms:created>
  <dcterms:modified xsi:type="dcterms:W3CDTF">2024-09-02T14:30:00Z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